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95B" w:rsidRPr="006574DE" w:rsidRDefault="0017395B" w:rsidP="00B5229B">
      <w:pPr>
        <w:spacing w:after="12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</w:pPr>
      <w:r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Tema 3. El teatro a principios del siglo XX. Ramón María del Valle-Inclán y Federico García Lorca.</w:t>
      </w:r>
    </w:p>
    <w:p w:rsidR="0017395B" w:rsidRPr="006574DE" w:rsidRDefault="0017395B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7395B" w:rsidRPr="006574DE" w:rsidRDefault="00570F8F" w:rsidP="00B5229B">
      <w:pPr>
        <w:spacing w:after="12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tab/>
        <w:t>INTRODUCCIÓN</w:t>
      </w:r>
    </w:p>
    <w:p w:rsidR="0017395B" w:rsidRDefault="0017395B" w:rsidP="00B5229B">
      <w:pPr>
        <w:spacing w:after="12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ES"/>
        </w:rPr>
      </w:pPr>
      <w:r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  </w:t>
      </w:r>
      <w:r w:rsidR="006574DE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>En España, a principios del siglo XX, la afición al teatro es muy grande. Todavía no sufre la competencia del cine y es uno de los principales medios de divertimento social. Pueden difer</w:t>
      </w:r>
      <w:r w:rsidR="00570F8F">
        <w:rPr>
          <w:rFonts w:ascii="Arial" w:eastAsia="Times New Roman" w:hAnsi="Arial" w:cs="Arial"/>
          <w:bCs/>
          <w:sz w:val="24"/>
          <w:szCs w:val="24"/>
          <w:lang w:eastAsia="es-ES"/>
        </w:rPr>
        <w:t>enciarse dos grandes tendencias</w:t>
      </w:r>
      <w:r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: por un lado, el teatro comercial; por otro, los intentos de renovación teatral.  En cuanto al </w:t>
      </w:r>
      <w:r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teatro comercial</w:t>
      </w:r>
      <w:r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, existe un teatro dirigido a las clases populares y otro tipo de obras dirigidas a las clases </w:t>
      </w:r>
      <w:r w:rsidR="006574DE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>acomodadas.</w:t>
      </w:r>
    </w:p>
    <w:p w:rsidR="00570F8F" w:rsidRDefault="00570F8F" w:rsidP="00B5229B">
      <w:pPr>
        <w:spacing w:after="12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</w:p>
    <w:p w:rsidR="00570F8F" w:rsidRPr="00570F8F" w:rsidRDefault="00570F8F" w:rsidP="00B5229B">
      <w:pPr>
        <w:spacing w:after="12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Pr="00570F8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EL TEATRO COMERCIAL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ES"/>
        </w:rPr>
      </w:pPr>
      <w:r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El teatro dirigido </w:t>
      </w:r>
      <w:r w:rsidR="00570F8F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al 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público popular se llama </w:t>
      </w:r>
      <w:r w:rsidR="0017395B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género chico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.  La pieza teatral más representativa del género chico es el </w:t>
      </w:r>
      <w:r w:rsidR="0017395B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sainete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.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Los autores de mayor éxito son 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Carlos Arniches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que escribe sainetes de tema madrileño,  y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Pedro Muñoz Seca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, creador del astracán, género construido sobre el chiste fácil y las situaciones descabelladas (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La venganza de don Mendo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).  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 La burguesía gustaba de otro tipo de representaciones más literarias. Es lo que se llamó el </w:t>
      </w:r>
      <w:r w:rsidR="0017395B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género grande, comedia burguesa o comedia de salón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, heredera de la alta comedia de </w:t>
      </w:r>
      <w:smartTag w:uri="urn:schemas-microsoft-com:office:smarttags" w:element="PersonName">
        <w:smartTagPr>
          <w:attr w:name="ProductID" w:val="la Restauraci￳n.  La"/>
        </w:smartTagPr>
        <w:r w:rsidR="0017395B" w:rsidRPr="006574DE">
          <w:rPr>
            <w:rFonts w:ascii="Arial" w:eastAsia="Times New Roman" w:hAnsi="Arial" w:cs="Arial"/>
            <w:bCs/>
            <w:sz w:val="24"/>
            <w:szCs w:val="24"/>
            <w:lang w:eastAsia="es-ES"/>
          </w:rPr>
          <w:t xml:space="preserve">la Restauración.  </w:t>
        </w:r>
        <w:r w:rsidR="0017395B" w:rsidRPr="006574DE">
          <w:rPr>
            <w:rFonts w:ascii="Arial" w:eastAsia="Times New Roman" w:hAnsi="Arial" w:cs="Arial"/>
            <w:sz w:val="24"/>
            <w:szCs w:val="24"/>
            <w:lang w:eastAsia="es-ES"/>
          </w:rPr>
          <w:t>La</w:t>
        </w:r>
      </w:smartTag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adaptación al nuevo siglo de la comedia burguesa fue llevada a cabo por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Jacinto Benavente.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Se le concedió el Premio Nobel en 1922.  Su obra maestra es una farsa que utiliza el ambiente y los personajes de la vieja comedia </w:t>
      </w:r>
      <w:proofErr w:type="spellStart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dell´arte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italiana: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Los intereses creados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. También anticipó el drama rural lorquiano con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La malquerida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:rsidR="00570F8F" w:rsidRDefault="006574DE" w:rsidP="00B5229B">
      <w:pPr>
        <w:spacing w:after="120"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</w:p>
    <w:p w:rsidR="00570F8F" w:rsidRPr="00570F8F" w:rsidRDefault="00570F8F" w:rsidP="00B5229B">
      <w:pPr>
        <w:spacing w:after="12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="0017395B" w:rsidRPr="00570F8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 </w:t>
      </w:r>
      <w:r w:rsidRPr="00570F8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LOS INTENTOS DE RENOVACIÓN TEATRAL</w:t>
      </w:r>
    </w:p>
    <w:p w:rsidR="0017395B" w:rsidRPr="006574DE" w:rsidRDefault="00570F8F" w:rsidP="00B5229B">
      <w:pPr>
        <w:spacing w:after="12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 Más allá del impulso simbolista y modernista, al finalizar la primera década del siglo XX sigue sintiéndose la necesidad de renovar profundamente el teatro español. Los </w:t>
      </w:r>
      <w:r w:rsidR="0017395B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intentos de renovación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 a partir de estos años fueron múltiples. 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 En primer lugar, los 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utores de la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Generación del 98: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Unamuno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 cultivó el teatro como un cauce más para presentar los conflictos humanos que le obsesionaban </w:t>
      </w:r>
      <w:r w:rsidR="00570F8F">
        <w:rPr>
          <w:rFonts w:ascii="Arial" w:eastAsia="Times New Roman" w:hAnsi="Arial" w:cs="Arial"/>
          <w:sz w:val="24"/>
          <w:szCs w:val="24"/>
          <w:lang w:eastAsia="es-ES"/>
        </w:rPr>
        <w:t>(</w:t>
      </w:r>
      <w:r w:rsidR="0017395B" w:rsidRPr="006574DE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El otro</w:t>
      </w:r>
      <w:r w:rsidR="00570F8F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)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;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Azorín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experimentó en la línea de lo irreal y de lo simbólico. (</w:t>
      </w:r>
      <w:r w:rsidR="0017395B" w:rsidRPr="006574DE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Los invisibles</w:t>
      </w:r>
      <w:r w:rsidR="0017395B" w:rsidRPr="00570F8F">
        <w:rPr>
          <w:rFonts w:ascii="Arial" w:eastAsia="Times New Roman" w:hAnsi="Arial" w:cs="Arial"/>
          <w:iCs/>
          <w:sz w:val="24"/>
          <w:szCs w:val="24"/>
          <w:lang w:eastAsia="es-ES"/>
        </w:rPr>
        <w:t>)</w:t>
      </w:r>
      <w:r w:rsidR="0017395B" w:rsidRPr="006574D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>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i/>
          <w:iCs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Por otro lado, autores de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vanguardia,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como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Jacinto Grau,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570F8F">
        <w:rPr>
          <w:rFonts w:ascii="Arial" w:eastAsia="Times New Roman" w:hAnsi="Arial" w:cs="Arial"/>
          <w:sz w:val="24"/>
          <w:szCs w:val="24"/>
          <w:lang w:eastAsia="es-ES"/>
        </w:rPr>
        <w:t xml:space="preserve">quien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escribi</w:t>
      </w:r>
      <w:r w:rsidR="00570F8F">
        <w:rPr>
          <w:rFonts w:ascii="Arial" w:eastAsia="Times New Roman" w:hAnsi="Arial" w:cs="Arial"/>
          <w:sz w:val="24"/>
          <w:szCs w:val="24"/>
          <w:lang w:eastAsia="es-ES"/>
        </w:rPr>
        <w:t>ó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un teatro culto y profundo (</w:t>
      </w:r>
      <w:r w:rsidR="00570F8F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El señor de Pigmalión</w:t>
      </w:r>
      <w:r w:rsidR="00570F8F" w:rsidRPr="00570F8F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), </w:t>
      </w:r>
      <w:r w:rsidR="00570F8F" w:rsidRPr="00570F8F">
        <w:rPr>
          <w:rFonts w:ascii="Arial" w:eastAsia="Times New Roman" w:hAnsi="Arial" w:cs="Arial"/>
          <w:iCs/>
          <w:sz w:val="24"/>
          <w:szCs w:val="24"/>
          <w:lang w:eastAsia="es-ES"/>
        </w:rPr>
        <w:t>o</w:t>
      </w:r>
      <w:r w:rsidR="00570F8F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Ramón Gómez de la Serna</w:t>
      </w:r>
      <w:r w:rsidR="00570F8F">
        <w:rPr>
          <w:rFonts w:ascii="Arial" w:eastAsia="Times New Roman" w:hAnsi="Arial" w:cs="Arial"/>
          <w:sz w:val="24"/>
          <w:szCs w:val="24"/>
          <w:lang w:eastAsia="es-ES"/>
        </w:rPr>
        <w:t>, autor de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obras vanguardistas con un lenguaje muy difícil (</w:t>
      </w:r>
      <w:r w:rsidR="0017395B" w:rsidRPr="006574DE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Los medios seres</w:t>
      </w:r>
      <w:r w:rsidR="00570F8F">
        <w:rPr>
          <w:rFonts w:ascii="Arial" w:eastAsia="Times New Roman" w:hAnsi="Arial" w:cs="Arial"/>
          <w:iCs/>
          <w:sz w:val="24"/>
          <w:szCs w:val="24"/>
          <w:lang w:eastAsia="es-ES"/>
        </w:rPr>
        <w:t>)</w:t>
      </w:r>
      <w:r w:rsidR="0017395B" w:rsidRPr="006574DE">
        <w:rPr>
          <w:rFonts w:ascii="Arial" w:eastAsia="Times New Roman" w:hAnsi="Arial" w:cs="Arial"/>
          <w:noProof/>
          <w:sz w:val="24"/>
          <w:szCs w:val="24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 </w:t>
      </w:r>
    </w:p>
    <w:p w:rsidR="0017395B" w:rsidRPr="00570F8F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noProof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Otros intentos renovadores en los años 30 fueron protagonizados por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Alejandro Casona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, quien sitúa sus obras, de tono lírico, en el mundo irreal de los sueños y no plantea grandes conflictos humanos (</w:t>
      </w:r>
      <w:r w:rsidR="0017395B" w:rsidRPr="006574DE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La sirena varada</w:t>
      </w:r>
      <w:r w:rsidR="0017395B" w:rsidRPr="006574D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, </w:t>
      </w:r>
      <w:r w:rsidR="0017395B" w:rsidRPr="00570F8F">
        <w:rPr>
          <w:rFonts w:ascii="Arial" w:eastAsia="Times New Roman" w:hAnsi="Arial" w:cs="Arial"/>
          <w:b/>
          <w:iCs/>
          <w:sz w:val="24"/>
          <w:szCs w:val="24"/>
          <w:u w:val="single"/>
          <w:lang w:eastAsia="es-ES"/>
        </w:rPr>
        <w:t>La dama del alba</w:t>
      </w:r>
      <w:r w:rsidR="00570F8F" w:rsidRPr="00570F8F">
        <w:rPr>
          <w:rFonts w:ascii="Arial" w:eastAsia="Times New Roman" w:hAnsi="Arial" w:cs="Arial"/>
          <w:iCs/>
          <w:sz w:val="24"/>
          <w:szCs w:val="24"/>
          <w:lang w:eastAsia="es-ES"/>
        </w:rPr>
        <w:t>)</w:t>
      </w:r>
      <w:r w:rsidR="0017395B" w:rsidRPr="006574D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 y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Max </w:t>
      </w:r>
      <w:proofErr w:type="spellStart"/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Aub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,  quien durante la guerra contribuyó al teatro político y “épico”, aunque sus obras más imp</w:t>
      </w:r>
      <w:r w:rsidR="0017395B" w:rsidRPr="00570F8F">
        <w:rPr>
          <w:rFonts w:ascii="Arial" w:eastAsia="Times New Roman" w:hAnsi="Arial" w:cs="Arial"/>
          <w:sz w:val="24"/>
          <w:szCs w:val="24"/>
          <w:lang w:eastAsia="es-ES"/>
        </w:rPr>
        <w:t>ortantes son las del exilio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17395B" w:rsidRPr="00570F8F">
        <w:rPr>
          <w:rFonts w:ascii="Arial" w:eastAsia="Times New Roman" w:hAnsi="Arial" w:cs="Arial"/>
          <w:sz w:val="24"/>
          <w:szCs w:val="24"/>
          <w:lang w:eastAsia="es-ES"/>
        </w:rPr>
        <w:t>(</w:t>
      </w:r>
      <w:r w:rsidR="0017395B" w:rsidRPr="00570F8F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Morir por cerrar los ojos</w:t>
      </w:r>
      <w:r w:rsidR="00570F8F">
        <w:rPr>
          <w:rFonts w:ascii="Arial" w:eastAsia="Times New Roman" w:hAnsi="Arial" w:cs="Arial"/>
          <w:iCs/>
          <w:sz w:val="24"/>
          <w:szCs w:val="24"/>
          <w:lang w:eastAsia="es-ES"/>
        </w:rPr>
        <w:t xml:space="preserve">, </w:t>
      </w:r>
      <w:r w:rsidR="0017395B" w:rsidRPr="00570F8F">
        <w:rPr>
          <w:rFonts w:ascii="Arial" w:eastAsia="Times New Roman" w:hAnsi="Arial" w:cs="Arial"/>
          <w:iCs/>
          <w:sz w:val="24"/>
          <w:szCs w:val="24"/>
          <w:lang w:eastAsia="es-ES"/>
        </w:rPr>
        <w:t xml:space="preserve"> </w:t>
      </w:r>
      <w:r w:rsidR="0017395B" w:rsidRPr="00570F8F">
        <w:rPr>
          <w:rFonts w:ascii="Arial" w:eastAsia="Times New Roman" w:hAnsi="Arial" w:cs="Arial"/>
          <w:iCs/>
          <w:sz w:val="24"/>
          <w:szCs w:val="24"/>
          <w:u w:val="single"/>
          <w:lang w:eastAsia="es-ES"/>
        </w:rPr>
        <w:t>Cara o cruz</w:t>
      </w:r>
      <w:r w:rsidR="0017395B" w:rsidRPr="00570F8F">
        <w:rPr>
          <w:rFonts w:ascii="Arial" w:eastAsia="Times New Roman" w:hAnsi="Arial" w:cs="Arial"/>
          <w:iCs/>
          <w:sz w:val="24"/>
          <w:szCs w:val="24"/>
          <w:lang w:eastAsia="es-ES"/>
        </w:rPr>
        <w:t>).</w:t>
      </w:r>
      <w:r w:rsidR="0017395B" w:rsidRPr="00570F8F">
        <w:rPr>
          <w:rFonts w:ascii="Arial" w:eastAsia="Times New Roman" w:hAnsi="Arial" w:cs="Arial"/>
          <w:noProof/>
          <w:sz w:val="24"/>
          <w:szCs w:val="24"/>
          <w:lang w:eastAsia="es-ES"/>
        </w:rPr>
        <w:t xml:space="preserve"> </w:t>
      </w:r>
    </w:p>
    <w:p w:rsidR="0017395B" w:rsidRPr="00570F8F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lastRenderedPageBreak/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Finalmente, apareció un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teatro de humor intelectual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de gran calidad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. Miguel </w:t>
      </w:r>
      <w:proofErr w:type="spellStart"/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Mihura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con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Tres sombreros de copa</w:t>
      </w:r>
      <w:r w:rsidR="00570F8F">
        <w:rPr>
          <w:rFonts w:ascii="Arial" w:eastAsia="Times New Roman" w:hAnsi="Arial" w:cs="Arial"/>
          <w:sz w:val="24"/>
          <w:szCs w:val="24"/>
          <w:lang w:eastAsia="es-ES"/>
        </w:rPr>
        <w:t xml:space="preserve">,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se anticipa al teatro del absurdo;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Enrique </w:t>
      </w:r>
      <w:proofErr w:type="spellStart"/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Jardiel</w:t>
      </w:r>
      <w:proofErr w:type="spellEnd"/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Poncela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funde la comedia convencional con las propuestas vanguardistas en obras como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Cuatro corazones </w:t>
      </w:r>
      <w:r w:rsidR="00570F8F">
        <w:rPr>
          <w:rFonts w:ascii="Arial" w:eastAsia="Times New Roman" w:hAnsi="Arial" w:cs="Arial"/>
          <w:sz w:val="24"/>
          <w:szCs w:val="24"/>
          <w:u w:val="single"/>
          <w:lang w:eastAsia="es-ES"/>
        </w:rPr>
        <w:t>con freno y marcha atrás</w:t>
      </w:r>
      <w:r w:rsidR="00570F8F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 Pero, sin duda,  los dos autores más destacados en la renovación del teatro español de la primera mitad del siglo XX son Ramón María del Valle-Inclán y Federico García Lorca.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bCs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El pontevedrés </w:t>
      </w:r>
      <w:r w:rsidR="004A6BE2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RAMÓN MARÍA DEL VALLE- </w:t>
      </w:r>
      <w:r w:rsidR="00BE1A3A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INCLÁN</w:t>
      </w:r>
      <w:r w:rsidR="004A6BE2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, 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 xml:space="preserve">a pesar de su apariencia estrafalaria y su vida bohemia en Madrid, se dedicó en cuerpo y alma a la literatura.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Revis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ó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y depur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ó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continuamente sus textos y busc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ó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afanosamente nuevas fórmulas expresivas.  Su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obra dramática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 xml:space="preserve">experimenta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una </w:t>
      </w:r>
      <w:r w:rsidR="0017395B" w:rsidRPr="006574DE">
        <w:rPr>
          <w:rFonts w:ascii="Arial" w:eastAsia="Times New Roman" w:hAnsi="Arial" w:cs="Arial"/>
          <w:i/>
          <w:sz w:val="24"/>
          <w:szCs w:val="24"/>
          <w:lang w:eastAsia="es-ES"/>
        </w:rPr>
        <w:t xml:space="preserve">evolución </w:t>
      </w:r>
      <w:r w:rsidR="0017395B" w:rsidRPr="004A6BE2">
        <w:rPr>
          <w:rFonts w:ascii="Arial" w:eastAsia="Times New Roman" w:hAnsi="Arial" w:cs="Arial"/>
          <w:sz w:val="24"/>
          <w:szCs w:val="24"/>
          <w:lang w:eastAsia="es-ES"/>
        </w:rPr>
        <w:t>estética de</w:t>
      </w:r>
      <w:r w:rsidR="004A6BE2" w:rsidRPr="004A6BE2">
        <w:rPr>
          <w:rFonts w:ascii="Arial" w:eastAsia="Times New Roman" w:hAnsi="Arial" w:cs="Arial"/>
          <w:sz w:val="24"/>
          <w:szCs w:val="24"/>
          <w:lang w:eastAsia="es-ES"/>
        </w:rPr>
        <w:t>sde</w:t>
      </w:r>
      <w:r w:rsidR="0017395B" w:rsidRPr="004A6BE2">
        <w:rPr>
          <w:rFonts w:ascii="Arial" w:eastAsia="Times New Roman" w:hAnsi="Arial" w:cs="Arial"/>
          <w:sz w:val="24"/>
          <w:szCs w:val="24"/>
          <w:lang w:eastAsia="es-ES"/>
        </w:rPr>
        <w:t xml:space="preserve"> un </w:t>
      </w:r>
      <w:r w:rsidR="004A6BE2" w:rsidRPr="004A6BE2">
        <w:rPr>
          <w:rFonts w:ascii="Arial" w:eastAsia="Times New Roman" w:hAnsi="Arial" w:cs="Arial"/>
          <w:sz w:val="24"/>
          <w:szCs w:val="24"/>
          <w:lang w:eastAsia="es-ES"/>
        </w:rPr>
        <w:t>m</w:t>
      </w:r>
      <w:r w:rsidR="0017395B" w:rsidRPr="004A6BE2">
        <w:rPr>
          <w:rFonts w:ascii="Arial" w:eastAsia="Times New Roman" w:hAnsi="Arial" w:cs="Arial"/>
          <w:sz w:val="24"/>
          <w:szCs w:val="24"/>
          <w:lang w:eastAsia="es-ES"/>
        </w:rPr>
        <w:t>odernismo elegante y nostálgico a una literatura crítica basada en una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feroz distorsión de la realidad, que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desembocará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en el </w:t>
      </w:r>
      <w:r w:rsidR="004A6BE2" w:rsidRPr="004A6BE2">
        <w:rPr>
          <w:rFonts w:ascii="Arial" w:eastAsia="Times New Roman" w:hAnsi="Arial" w:cs="Arial"/>
          <w:b/>
          <w:sz w:val="24"/>
          <w:szCs w:val="24"/>
          <w:lang w:eastAsia="es-ES"/>
        </w:rPr>
        <w:t>e</w:t>
      </w:r>
      <w:r w:rsidR="0017395B" w:rsidRPr="004A6BE2">
        <w:rPr>
          <w:rFonts w:ascii="Arial" w:eastAsia="Times New Roman" w:hAnsi="Arial" w:cs="Arial"/>
          <w:b/>
          <w:sz w:val="24"/>
          <w:szCs w:val="24"/>
          <w:lang w:eastAsia="es-ES"/>
        </w:rPr>
        <w:t>sperpento.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  Así, tras sus primeras obras decadentistas, publica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, a partir de 1907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las </w:t>
      </w:r>
      <w:r w:rsidR="0017395B" w:rsidRPr="004A6BE2">
        <w:rPr>
          <w:rFonts w:ascii="Arial" w:eastAsia="Times New Roman" w:hAnsi="Arial" w:cs="Arial"/>
          <w:b/>
          <w:iCs/>
          <w:sz w:val="24"/>
          <w:szCs w:val="24"/>
          <w:u w:val="single"/>
          <w:lang w:eastAsia="es-ES"/>
        </w:rPr>
        <w:t>Comedias bárbaras</w:t>
      </w:r>
      <w:r w:rsidR="0017395B" w:rsidRPr="006574D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.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Situadas en el ambiente rural gallego, con toda su miseria, presenta personajes extraños, violentos, con fuertes pasiones, presididos por don Juan Manuel de Montenegro, personaje vicioso y pendenciero. Valle-Inclán abandona el estilo modernista </w:t>
      </w:r>
      <w:proofErr w:type="spellStart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aristocratizante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y refinado para adoptar un estilo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bronco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y un lenguaje escénico revolucionario. Las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acotaciones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adquieren una gran importancia – se ha hablado de híbrido entre novela y drama – y el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espacio escénico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rebasa los marcos convencionales.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También a esta etapa pertenece la obra </w:t>
      </w:r>
      <w:r w:rsidR="0017395B" w:rsidRPr="006574DE">
        <w:rPr>
          <w:rFonts w:ascii="Arial" w:eastAsia="Times New Roman" w:hAnsi="Arial" w:cs="Arial"/>
          <w:b/>
          <w:iCs/>
          <w:sz w:val="24"/>
          <w:szCs w:val="24"/>
          <w:u w:val="single"/>
          <w:lang w:eastAsia="es-ES"/>
        </w:rPr>
        <w:t>Divinas palabras</w:t>
      </w:r>
      <w:r w:rsidR="0017395B" w:rsidRPr="006574DE">
        <w:rPr>
          <w:rFonts w:ascii="Arial" w:eastAsia="Times New Roman" w:hAnsi="Arial" w:cs="Arial"/>
          <w:i/>
          <w:iCs/>
          <w:sz w:val="24"/>
          <w:szCs w:val="24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(1920), violento drama con un lenguaje desgarrado y a menudo brutal que presenta deformidades morales y sociales. Valle-Inclán presenta un mundo sórdido y miserable dominado por la avaricia y la lujuria. Acentúa los rasgos humanos y ambientales más desagradables, provocando un distanciamiento artificioso de la realidad que abrirá las puertas a la gran creación valleinclanesca: el esperpento.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 Desde  1920 se puede hablar de </w:t>
      </w:r>
      <w:r w:rsidR="004A6BE2">
        <w:rPr>
          <w:rFonts w:ascii="Arial" w:eastAsia="Times New Roman" w:hAnsi="Arial" w:cs="Arial"/>
          <w:b/>
          <w:sz w:val="24"/>
          <w:szCs w:val="24"/>
          <w:lang w:eastAsia="es-ES"/>
        </w:rPr>
        <w:t>e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sperpento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pero la obra clave de esta tendencia es </w:t>
      </w:r>
      <w:r w:rsidR="0017395B" w:rsidRPr="004A6BE2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Luces de Bohemia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. La mejor definición del esperpento aparece en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la propia obra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. Max Estrella, el viejo poeta ciego,  viaja – como un nuevo Ulises – por la noche madrileña con su amigo don Latino de </w:t>
      </w:r>
      <w:proofErr w:type="spellStart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Hispalis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. Después de una  noche larga y fría, Max afirma: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“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Los héroes clásicos reflejados en los espejos cóncavos dan el Esperpento. El sentido trágico de la vida española sólo puede darse con una estética sistemáticamente deformada”.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Después escribe otros tres esperpentos recogidos bajo el título </w:t>
      </w:r>
      <w:r w:rsidR="0017395B" w:rsidRPr="004A6BE2">
        <w:rPr>
          <w:rFonts w:ascii="Arial" w:eastAsia="Times New Roman" w:hAnsi="Arial" w:cs="Arial"/>
          <w:b/>
          <w:iCs/>
          <w:sz w:val="24"/>
          <w:szCs w:val="24"/>
          <w:u w:val="single"/>
          <w:lang w:eastAsia="es-ES"/>
        </w:rPr>
        <w:t>Martes de carnaval</w:t>
      </w:r>
      <w:r>
        <w:rPr>
          <w:rFonts w:ascii="Arial" w:eastAsia="Times New Roman" w:hAnsi="Arial" w:cs="Arial"/>
          <w:b/>
          <w:iCs/>
          <w:sz w:val="24"/>
          <w:szCs w:val="24"/>
          <w:lang w:eastAsia="es-ES"/>
        </w:rPr>
        <w:t xml:space="preserve">.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En ellos parodia el tópico del honor calderoniano y el militarismo trasnochado, configurando a los personajes como muñecos irrisorios,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 xml:space="preserve"> pero ya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sin los restos de dignidad que quedaban en el poeta bohemio Max Estrella.</w:t>
      </w:r>
    </w:p>
    <w:p w:rsidR="0017395B" w:rsidRPr="006574DE" w:rsidRDefault="0017395B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574DE">
        <w:rPr>
          <w:rFonts w:ascii="Arial" w:eastAsia="Times New Roman" w:hAnsi="Arial" w:cs="Arial"/>
          <w:sz w:val="24"/>
          <w:szCs w:val="24"/>
          <w:lang w:eastAsia="es-ES"/>
        </w:rPr>
        <w:tab/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Valle-Inclán fue  un gran innovador teatral, que </w:t>
      </w:r>
      <w:r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anticipó técnicas cinematográficas</w:t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(saltos en el tiempo, escenarios múltiples) y acercó el teatro español  a lo que otros autores estaban haciendo en Europa. Por su manera de concebir la realidad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 xml:space="preserve">sus obras se </w:t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>consider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aron</w:t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irrepresentable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s</w:t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ES"/>
        </w:rPr>
        <w:lastRenderedPageBreak/>
        <w:tab/>
      </w:r>
      <w:r w:rsidR="0017395B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FEDERICO GARCÍA LORCA </w:t>
      </w:r>
      <w:r w:rsidR="0017395B" w:rsidRPr="006574DE">
        <w:rPr>
          <w:rFonts w:ascii="Arial" w:eastAsia="Times New Roman" w:hAnsi="Arial" w:cs="Arial"/>
          <w:bCs/>
          <w:sz w:val="24"/>
          <w:szCs w:val="24"/>
          <w:lang w:eastAsia="es-ES"/>
        </w:rPr>
        <w:t>(1898-1936)</w:t>
      </w:r>
      <w:bookmarkStart w:id="0" w:name="_GoBack"/>
      <w:bookmarkEnd w:id="0"/>
      <w:r w:rsidR="0017395B" w:rsidRPr="006574DE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nació en Fuente Vaqueros (Granada) en 1898. Con diez años se traslada con su familia a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Granada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. Empieza Filosofía y Letras y Derecho, pero sus aficiones son la música y la literatura. En 1918 publica su primer libro, 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Impresiones y paisajes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. Un año después se instala en </w:t>
      </w:r>
      <w:smartTag w:uri="urn:schemas-microsoft-com:office:smarttags" w:element="PersonName">
        <w:smartTagPr>
          <w:attr w:name="ProductID" w:val="la Residencia"/>
        </w:smartTagPr>
        <w:r w:rsidR="0017395B" w:rsidRPr="006574DE">
          <w:rPr>
            <w:rFonts w:ascii="Arial" w:eastAsia="Times New Roman" w:hAnsi="Arial" w:cs="Arial"/>
            <w:sz w:val="24"/>
            <w:szCs w:val="24"/>
            <w:lang w:eastAsia="es-ES"/>
          </w:rPr>
          <w:t>la Residencia</w:t>
        </w:r>
      </w:smartTag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de Estudiantes de Madrid, donde vivirá hasta 1928. En 1920 estrena sin éxito su primera obra teatral,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El maleficio de la mariposa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en la que ya puede apreciarse la búsqueda de un nuevo lenguaje, muy relacionado con su poesía lírica. Esta primera obra fue un fracaso. </w:t>
      </w:r>
    </w:p>
    <w:p w:rsidR="0017395B" w:rsidRPr="006574DE" w:rsidRDefault="0017395B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  </w:t>
      </w:r>
      <w:r w:rsidR="006574DE">
        <w:rPr>
          <w:rFonts w:ascii="Arial" w:eastAsia="Times New Roman" w:hAnsi="Arial" w:cs="Arial"/>
          <w:sz w:val="24"/>
          <w:szCs w:val="24"/>
          <w:lang w:eastAsia="es-ES"/>
        </w:rPr>
        <w:tab/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Su primer éxito teatral le llega con </w:t>
      </w:r>
      <w:r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Mariana Pineda</w:t>
      </w:r>
      <w:r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(1927), drama en verso que cuenta la historia de una joven ajusticiada en Granada en el siglo XIX por haber bordado una bandera liberal. </w:t>
      </w:r>
    </w:p>
    <w:p w:rsidR="0017395B" w:rsidRPr="006574DE" w:rsidRDefault="006574DE" w:rsidP="00B5229B">
      <w:pPr>
        <w:spacing w:after="120" w:line="240" w:lineRule="auto"/>
        <w:ind w:firstLine="24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Su deseo de renovación  le llevó también a escribir 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títeres de cachiporra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teatro de marionetas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[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Tragedia de don Cristóbal y la </w:t>
      </w:r>
      <w:proofErr w:type="spellStart"/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señá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Rosita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(1922) y 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El retablillo de don Cristóbal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 xml:space="preserve"> (1931)]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y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farsas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[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La zapatera prodigiosa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(1926) y 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Amor de don </w:t>
      </w:r>
      <w:proofErr w:type="spellStart"/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Perlimpín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con </w:t>
      </w:r>
      <w:proofErr w:type="spellStart"/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Belisa</w:t>
      </w:r>
      <w:proofErr w:type="spellEnd"/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en su jardín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(1928)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]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Tras la popularidad alcanzada con el </w:t>
      </w:r>
      <w:r w:rsidR="0017395B" w:rsidRPr="004A6BE2">
        <w:rPr>
          <w:rFonts w:ascii="Arial" w:eastAsia="Times New Roman" w:hAnsi="Arial" w:cs="Arial"/>
          <w:sz w:val="24"/>
          <w:szCs w:val="24"/>
          <w:u w:val="single"/>
          <w:lang w:eastAsia="es-ES"/>
        </w:rPr>
        <w:t>Romancero gitano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se sumirá en una profunda crisis personal. En 1929, para alejarse de esa penumbra sentimental, viaja a </w:t>
      </w:r>
      <w:smartTag w:uri="urn:schemas-microsoft-com:office:smarttags" w:element="PersonName">
        <w:smartTagPr>
          <w:attr w:name="ProductID" w:val="la Universidad"/>
        </w:smartTagPr>
        <w:r w:rsidR="0017395B" w:rsidRPr="006574DE">
          <w:rPr>
            <w:rFonts w:ascii="Arial" w:eastAsia="Times New Roman" w:hAnsi="Arial" w:cs="Arial"/>
            <w:sz w:val="24"/>
            <w:szCs w:val="24"/>
            <w:lang w:eastAsia="es-ES"/>
          </w:rPr>
          <w:t>la Universidad</w:t>
        </w:r>
      </w:smartTag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de Columbia, en Nueva York, donde se enfrentará a la gran ciudad americana. 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>Este viaje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dejó en él profunda huella, huella que se reflejará en </w:t>
      </w:r>
      <w:r>
        <w:rPr>
          <w:rFonts w:ascii="Arial" w:eastAsia="Times New Roman" w:hAnsi="Arial" w:cs="Arial"/>
          <w:sz w:val="24"/>
          <w:szCs w:val="24"/>
          <w:lang w:eastAsia="es-ES"/>
        </w:rPr>
        <w:t>su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famoso poemario. Pero en Nueva York también asiste a representaciones de teatro moderno que lo convencen de la necesidad de renovar a fondo el teatro español. 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  <w:t>Así, d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urante los años treinta, su deseo de experimentación lo conduce por dos caminos distintos: </w:t>
      </w:r>
      <w:r w:rsidR="0017395B" w:rsidRPr="004A6BE2">
        <w:rPr>
          <w:rFonts w:ascii="Arial" w:eastAsia="Times New Roman" w:hAnsi="Arial" w:cs="Arial"/>
          <w:b/>
          <w:sz w:val="24"/>
          <w:szCs w:val="24"/>
          <w:lang w:eastAsia="es-ES"/>
        </w:rPr>
        <w:t>el teatro vanguardista próximo al Surrealismo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y </w:t>
      </w:r>
      <w:r w:rsidR="004A6BE2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el drama </w:t>
      </w:r>
      <w:r w:rsidR="0017395B" w:rsidRPr="004A6BE2">
        <w:rPr>
          <w:rFonts w:ascii="Arial" w:eastAsia="Times New Roman" w:hAnsi="Arial" w:cs="Arial"/>
          <w:b/>
          <w:sz w:val="24"/>
          <w:szCs w:val="24"/>
          <w:lang w:eastAsia="es-ES"/>
        </w:rPr>
        <w:t>rural</w:t>
      </w:r>
      <w:r w:rsidR="004A6BE2">
        <w:rPr>
          <w:rFonts w:ascii="Arial" w:eastAsia="Times New Roman" w:hAnsi="Arial" w:cs="Arial"/>
          <w:b/>
          <w:sz w:val="24"/>
          <w:szCs w:val="24"/>
          <w:lang w:eastAsia="es-ES"/>
        </w:rPr>
        <w:t>,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que asegura su representación en la escena española del momento.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  <w:t>E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scribe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, pues,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obras de teatro vanguardistas con un lenguaje surrealista</w:t>
      </w:r>
      <w:r w:rsidR="0017395B" w:rsidRPr="004A6BE2">
        <w:rPr>
          <w:rFonts w:ascii="Arial" w:eastAsia="Times New Roman" w:hAnsi="Arial" w:cs="Arial"/>
          <w:sz w:val="24"/>
          <w:szCs w:val="24"/>
          <w:lang w:eastAsia="es-ES"/>
        </w:rPr>
        <w:t>: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El público</w:t>
      </w:r>
      <w:r w:rsidR="0017395B" w:rsidRPr="006574DE">
        <w:rPr>
          <w:rFonts w:ascii="Arial" w:eastAsia="Times New Roman" w:hAnsi="Arial" w:cs="Arial"/>
          <w:i/>
          <w:sz w:val="24"/>
          <w:szCs w:val="24"/>
          <w:lang w:eastAsia="es-ES"/>
        </w:rPr>
        <w:t xml:space="preserve"> (1930),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Así que pasen cinco años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(1931). También crea el</w:t>
      </w:r>
      <w:r w:rsidR="004A6BE2">
        <w:rPr>
          <w:rFonts w:ascii="Arial" w:eastAsia="Times New Roman" w:hAnsi="Arial" w:cs="Arial"/>
          <w:sz w:val="24"/>
          <w:szCs w:val="24"/>
          <w:lang w:eastAsia="es-ES"/>
        </w:rPr>
        <w:t xml:space="preserve"> grupo de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Teatro Universitario “La Barraca”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, que dirigirá hasta 1935, y que dio a conocer el repertorio clásico por los más alejados pueblos del país.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  <w:t xml:space="preserve">Pero son </w:t>
      </w:r>
      <w:r w:rsidR="00BE1A3A">
        <w:rPr>
          <w:rFonts w:ascii="Arial" w:eastAsia="Times New Roman" w:hAnsi="Arial" w:cs="Arial"/>
          <w:sz w:val="24"/>
          <w:szCs w:val="24"/>
          <w:lang w:eastAsia="es-ES"/>
        </w:rPr>
        <w:t>las tragedias rurales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l</w:t>
      </w:r>
      <w:r w:rsidR="00BE1A3A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s que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le </w:t>
      </w:r>
      <w:r w:rsidR="00B5229B">
        <w:rPr>
          <w:rFonts w:ascii="Arial" w:eastAsia="Times New Roman" w:hAnsi="Arial" w:cs="Arial"/>
          <w:sz w:val="24"/>
          <w:szCs w:val="24"/>
          <w:lang w:eastAsia="es-ES"/>
        </w:rPr>
        <w:t>proporcionan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el éxito de público y el reconocimiento de la crítica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: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Bodas de sangre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(1933),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Yerma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(1934)  y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La casa de Bernarda Alba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 xml:space="preserve"> (1936). 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>Todas están protagonizadas por mujeres.</w:t>
      </w:r>
    </w:p>
    <w:p w:rsid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El tema central de </w:t>
      </w:r>
      <w:r w:rsidR="0017395B" w:rsidRPr="006574DE"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La casa de Bernarda Alba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es el enfrentamiento entre la autoridad y la libertad; entre los instintos naturales y las imposiciones morales de la sociedad. </w:t>
      </w:r>
    </w:p>
    <w:p w:rsidR="0017395B" w:rsidRPr="006574DE" w:rsidRDefault="006574DE" w:rsidP="00B5229B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6574DE"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BE1A3A">
        <w:rPr>
          <w:rFonts w:ascii="Arial" w:eastAsia="Times New Roman" w:hAnsi="Arial" w:cs="Arial"/>
          <w:sz w:val="24"/>
          <w:szCs w:val="24"/>
          <w:lang w:eastAsia="es-ES"/>
        </w:rPr>
        <w:t xml:space="preserve">En 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Bodas de sangre</w:t>
      </w:r>
      <w:r w:rsidR="00B5229B">
        <w:rPr>
          <w:rFonts w:ascii="Arial" w:eastAsia="Times New Roman" w:hAnsi="Arial" w:cs="Arial"/>
          <w:sz w:val="24"/>
          <w:szCs w:val="24"/>
          <w:u w:val="single"/>
          <w:lang w:eastAsia="es-ES"/>
        </w:rPr>
        <w:t>,</w:t>
      </w:r>
      <w:r w:rsidR="00BE1A3A" w:rsidRPr="00BE1A3A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BE1A3A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Lorca plantea los temas del adulterio y la </w:t>
      </w:r>
      <w:r w:rsidR="00B5229B" w:rsidRPr="006574DE">
        <w:rPr>
          <w:rFonts w:ascii="Arial" w:eastAsia="Times New Roman" w:hAnsi="Arial" w:cs="Arial"/>
          <w:sz w:val="24"/>
          <w:szCs w:val="24"/>
          <w:lang w:eastAsia="es-ES"/>
        </w:rPr>
        <w:t>libertad</w:t>
      </w:r>
      <w:r w:rsidR="00B5229B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  <w:r w:rsidR="00BE1A3A">
        <w:rPr>
          <w:rFonts w:ascii="Arial" w:eastAsia="Times New Roman" w:hAnsi="Arial" w:cs="Arial"/>
          <w:sz w:val="24"/>
          <w:szCs w:val="24"/>
          <w:lang w:eastAsia="es-ES"/>
        </w:rPr>
        <w:t xml:space="preserve">En </w:t>
      </w:r>
      <w:r w:rsidR="0017395B" w:rsidRPr="006574DE">
        <w:rPr>
          <w:rFonts w:ascii="Arial" w:eastAsia="Times New Roman" w:hAnsi="Arial" w:cs="Arial"/>
          <w:sz w:val="24"/>
          <w:szCs w:val="24"/>
          <w:u w:val="single"/>
          <w:lang w:eastAsia="es-ES"/>
        </w:rPr>
        <w:t>Yerma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aborda el asunto de la esterilidad y la opresión de la mujer. Son obras cargadas de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elementos simbólicos y alegóricos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, en las que </w:t>
      </w:r>
      <w:r w:rsidR="0017395B" w:rsidRPr="006574DE">
        <w:rPr>
          <w:rFonts w:ascii="Arial" w:eastAsia="Times New Roman" w:hAnsi="Arial" w:cs="Arial"/>
          <w:b/>
          <w:sz w:val="24"/>
          <w:szCs w:val="24"/>
          <w:lang w:eastAsia="es-ES"/>
        </w:rPr>
        <w:t>el coro</w:t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 se utiliza como en las tragedias griegas, para dotar a la acción de gran intensidad dramática. </w:t>
      </w:r>
    </w:p>
    <w:p w:rsidR="00700D45" w:rsidRPr="006574DE" w:rsidRDefault="00BE1A3A" w:rsidP="00804487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ab/>
      </w:r>
      <w:r w:rsidR="0017395B" w:rsidRPr="006574DE">
        <w:rPr>
          <w:rFonts w:ascii="Arial" w:eastAsia="Times New Roman" w:hAnsi="Arial" w:cs="Arial"/>
          <w:sz w:val="24"/>
          <w:szCs w:val="24"/>
          <w:lang w:eastAsia="es-ES"/>
        </w:rPr>
        <w:t xml:space="preserve">El asesinato del poeta en agosto de 1936 truncó una vida excepcional. Todos los que le conocieron y trataron coinciden en su fascinante personalidad. Lorca se enfrenta con angustia y pasión a los enigmas de la vida; su homosexualidad agudizó el profundo desasosiego que se agazapaba tras su carácter desenfadado y amigable. </w:t>
      </w:r>
    </w:p>
    <w:sectPr w:rsidR="00700D45" w:rsidRPr="006574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473" w:rsidRDefault="00195473" w:rsidP="0017395B">
      <w:pPr>
        <w:spacing w:after="0" w:line="240" w:lineRule="auto"/>
      </w:pPr>
      <w:r>
        <w:separator/>
      </w:r>
    </w:p>
  </w:endnote>
  <w:endnote w:type="continuationSeparator" w:id="0">
    <w:p w:rsidR="00195473" w:rsidRDefault="00195473" w:rsidP="00173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473" w:rsidRDefault="00195473" w:rsidP="0017395B">
      <w:pPr>
        <w:spacing w:after="0" w:line="240" w:lineRule="auto"/>
      </w:pPr>
      <w:r>
        <w:separator/>
      </w:r>
    </w:p>
  </w:footnote>
  <w:footnote w:type="continuationSeparator" w:id="0">
    <w:p w:rsidR="00195473" w:rsidRDefault="00195473" w:rsidP="001739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453"/>
    <w:rsid w:val="00171E15"/>
    <w:rsid w:val="0017395B"/>
    <w:rsid w:val="00195473"/>
    <w:rsid w:val="004A6BE2"/>
    <w:rsid w:val="00570F8F"/>
    <w:rsid w:val="006574DE"/>
    <w:rsid w:val="00700D45"/>
    <w:rsid w:val="007F3F50"/>
    <w:rsid w:val="00804487"/>
    <w:rsid w:val="00936CE1"/>
    <w:rsid w:val="00B5229B"/>
    <w:rsid w:val="00BE1A3A"/>
    <w:rsid w:val="00D04A06"/>
    <w:rsid w:val="00FE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9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7395B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7395B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7395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9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7395B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7395B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739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E7489-0AE6-46A0-829B-893E497E1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1356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García Tijero</dc:creator>
  <cp:lastModifiedBy>Laura García Tijero</cp:lastModifiedBy>
  <cp:revision>4</cp:revision>
  <cp:lastPrinted>2021-09-22T18:49:00Z</cp:lastPrinted>
  <dcterms:created xsi:type="dcterms:W3CDTF">2021-09-22T06:45:00Z</dcterms:created>
  <dcterms:modified xsi:type="dcterms:W3CDTF">2021-09-22T19:20:00Z</dcterms:modified>
</cp:coreProperties>
</file>