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106AC" w:rsidRPr="008106AC" w:rsidRDefault="008106AC" w:rsidP="008106AC">
      <w:pPr>
        <w:jc w:val="center"/>
        <w:rPr>
          <w:rFonts w:ascii="Cambria" w:hAnsi="Cambria"/>
          <w:b/>
          <w:bCs/>
        </w:rPr>
      </w:pPr>
      <w:r w:rsidRPr="008106AC">
        <w:rPr>
          <w:rFonts w:ascii="Cambria" w:hAnsi="Cambria"/>
          <w:b/>
          <w:bCs/>
        </w:rPr>
        <w:t>OBRA DE MIGUEL DE CERVANTES</w:t>
      </w:r>
    </w:p>
    <w:p w:rsidR="008106AC" w:rsidRDefault="008106AC" w:rsidP="008106AC">
      <w:pPr>
        <w:jc w:val="both"/>
        <w:rPr>
          <w:rFonts w:ascii="Cambria" w:hAnsi="Cambria"/>
        </w:rPr>
      </w:pPr>
    </w:p>
    <w:p w:rsidR="008106AC" w:rsidRPr="001144FF" w:rsidRDefault="008106AC" w:rsidP="008106AC">
      <w:pPr>
        <w:jc w:val="both"/>
        <w:rPr>
          <w:rFonts w:ascii="Cambria" w:hAnsi="Cambria"/>
        </w:rPr>
      </w:pPr>
      <w:r w:rsidRPr="001144FF">
        <w:rPr>
          <w:rFonts w:ascii="Cambria" w:hAnsi="Cambria"/>
        </w:rPr>
        <w:t xml:space="preserve">Indiscutible su maestría con la prosa, pero también se dedicó al resto de géneros literarios. </w:t>
      </w:r>
    </w:p>
    <w:p w:rsidR="008106AC" w:rsidRPr="001144FF" w:rsidRDefault="008106AC" w:rsidP="008106AC">
      <w:pPr>
        <w:jc w:val="both"/>
        <w:rPr>
          <w:rFonts w:ascii="Cambria" w:hAnsi="Cambria"/>
        </w:rPr>
      </w:pPr>
    </w:p>
    <w:p w:rsidR="008106AC" w:rsidRPr="001144FF" w:rsidRDefault="008106AC" w:rsidP="008106AC">
      <w:p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  <w:b/>
          <w:bCs/>
        </w:rPr>
        <w:t>Poesía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  <w:u w:val="single"/>
        </w:rPr>
        <w:t>Hoyos</w:t>
      </w:r>
      <w:r w:rsidRPr="001144FF">
        <w:rPr>
          <w:rFonts w:ascii="Cambria" w:hAnsi="Cambria" w:cs="Times New Roman"/>
        </w:rPr>
        <w:t xml:space="preserve">, de quien fue discípulo, le publicó sus primeras poesías. 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</w:rPr>
        <w:t xml:space="preserve">Su largo poema </w:t>
      </w:r>
      <w:r w:rsidRPr="001144FF">
        <w:rPr>
          <w:rFonts w:ascii="Cambria" w:hAnsi="Cambria" w:cs="Times New Roman"/>
          <w:u w:val="single"/>
        </w:rPr>
        <w:t>“Viaje del Parnaso”</w:t>
      </w:r>
      <w:r w:rsidRPr="001144FF">
        <w:rPr>
          <w:rFonts w:ascii="Cambria" w:hAnsi="Cambria" w:cs="Times New Roman"/>
        </w:rPr>
        <w:t xml:space="preserve"> (1614)</w:t>
      </w:r>
    </w:p>
    <w:p w:rsidR="008106AC" w:rsidRPr="001144FF" w:rsidRDefault="008106AC" w:rsidP="008106AC">
      <w:pPr>
        <w:jc w:val="both"/>
        <w:rPr>
          <w:rFonts w:ascii="Cambria" w:hAnsi="Cambria" w:cs="Times New Roman"/>
        </w:rPr>
      </w:pPr>
      <w:r w:rsidRPr="001144FF">
        <w:rPr>
          <w:rFonts w:ascii="Cambria" w:hAnsi="Cambria"/>
          <w:b/>
          <w:bCs/>
        </w:rPr>
        <w:t>Teatro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</w:rPr>
        <w:t xml:space="preserve">Hay un capítulo de El Ministerio del Tiempo en el que se refleja su frustración al no poder representar </w:t>
      </w:r>
      <w:r w:rsidRPr="001144FF">
        <w:rPr>
          <w:rFonts w:ascii="Cambria" w:hAnsi="Cambria" w:cs="Times New Roman"/>
          <w:u w:val="single"/>
        </w:rPr>
        <w:t>“Los baños de Argel”,</w:t>
      </w:r>
      <w:r w:rsidRPr="001144FF">
        <w:rPr>
          <w:rFonts w:ascii="Cambria" w:hAnsi="Cambria"/>
        </w:rPr>
        <w:t xml:space="preserve"> tras lo cual se quiere suicidar. La patrulla de Amelia, Alonso y </w:t>
      </w:r>
      <w:proofErr w:type="spellStart"/>
      <w:r w:rsidRPr="001144FF">
        <w:rPr>
          <w:rFonts w:ascii="Cambria" w:hAnsi="Cambria"/>
        </w:rPr>
        <w:t>Pacino</w:t>
      </w:r>
      <w:proofErr w:type="spellEnd"/>
      <w:r w:rsidRPr="001144FF">
        <w:rPr>
          <w:rFonts w:ascii="Cambria" w:hAnsi="Cambria"/>
        </w:rPr>
        <w:t xml:space="preserve"> deciden entonces llevarlo al futuro para hacerle ver de primera mano el éxito de su Quijote y </w:t>
      </w:r>
      <w:proofErr w:type="spellStart"/>
      <w:r w:rsidRPr="001144FF">
        <w:rPr>
          <w:rFonts w:ascii="Cambria" w:hAnsi="Cambria"/>
        </w:rPr>
        <w:t>el porqué</w:t>
      </w:r>
      <w:proofErr w:type="spellEnd"/>
      <w:r w:rsidRPr="001144FF">
        <w:rPr>
          <w:rFonts w:ascii="Cambria" w:hAnsi="Cambria"/>
        </w:rPr>
        <w:t xml:space="preserve"> debería decantarse por la narrativa.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</w:rPr>
        <w:t>Algunas de sus obras se pusieron en escena en los corrales de comedias.</w:t>
      </w:r>
      <w:r w:rsidRPr="001144FF">
        <w:rPr>
          <w:rFonts w:ascii="Cambria" w:hAnsi="Cambria"/>
        </w:rPr>
        <w:t xml:space="preserve"> Entremeses como </w:t>
      </w:r>
      <w:r w:rsidRPr="001144FF">
        <w:rPr>
          <w:rFonts w:ascii="Cambria" w:hAnsi="Cambria"/>
          <w:u w:val="single"/>
        </w:rPr>
        <w:t>“La cueva de Salamanca”.</w:t>
      </w:r>
      <w:r w:rsidRPr="001144FF">
        <w:rPr>
          <w:rFonts w:ascii="Cambria" w:hAnsi="Cambria"/>
        </w:rPr>
        <w:t xml:space="preserve"> 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</w:rPr>
        <w:t xml:space="preserve">Cervantes escribe en prosa comedias a imitación de las italianas y siguiendo al gran </w:t>
      </w:r>
      <w:r w:rsidRPr="001144FF">
        <w:rPr>
          <w:rFonts w:ascii="Cambria" w:hAnsi="Cambria" w:cs="Times New Roman"/>
          <w:u w:val="single"/>
        </w:rPr>
        <w:t>Lope de Rueda</w:t>
      </w:r>
      <w:r w:rsidRPr="001144FF">
        <w:rPr>
          <w:rFonts w:ascii="Cambria" w:hAnsi="Cambria" w:cs="Times New Roman"/>
        </w:rPr>
        <w:t>, pero el alcalaíno le daría mayor entidad, ahondando en sus rasgos y doblando el número de personajes.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 w:cs="Times New Roman"/>
        </w:rPr>
      </w:pPr>
      <w:r w:rsidRPr="001144FF">
        <w:rPr>
          <w:rFonts w:ascii="Cambria" w:hAnsi="Cambria" w:cs="Times New Roman"/>
        </w:rPr>
        <w:t xml:space="preserve">“Ocho comedias y ocho entremeses nuevos, nunca representados” (1616), a las puertas de la muerte. </w:t>
      </w:r>
      <w:r>
        <w:rPr>
          <w:rFonts w:ascii="Cambria" w:hAnsi="Cambria" w:cs="Times New Roman"/>
        </w:rPr>
        <w:t xml:space="preserve">O “El retablo de las maravillas”. </w:t>
      </w:r>
    </w:p>
    <w:p w:rsidR="008106AC" w:rsidRPr="001144FF" w:rsidRDefault="008106AC" w:rsidP="008106AC">
      <w:pPr>
        <w:jc w:val="both"/>
        <w:rPr>
          <w:rFonts w:ascii="Cambria" w:hAnsi="Cambria"/>
        </w:rPr>
      </w:pPr>
      <w:r w:rsidRPr="001144FF">
        <w:rPr>
          <w:rFonts w:ascii="Cambria" w:hAnsi="Cambria"/>
          <w:b/>
          <w:bCs/>
        </w:rPr>
        <w:t>Narrativa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“La Galatea”</w:t>
      </w:r>
      <w:r w:rsidRPr="001144FF">
        <w:rPr>
          <w:rFonts w:ascii="Cambria" w:hAnsi="Cambria"/>
        </w:rPr>
        <w:t xml:space="preserve"> (1585), romance pastoril con el que inicia la escritura en prosa.  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</w:rPr>
        <w:t xml:space="preserve">“Novelas ejemplares” (1613) o </w:t>
      </w:r>
      <w:proofErr w:type="spellStart"/>
      <w:r w:rsidRPr="001144FF">
        <w:rPr>
          <w:rFonts w:ascii="Cambria" w:hAnsi="Cambria"/>
        </w:rPr>
        <w:t>novellas</w:t>
      </w:r>
      <w:proofErr w:type="spellEnd"/>
      <w:r w:rsidRPr="001144FF">
        <w:rPr>
          <w:rFonts w:ascii="Cambria" w:hAnsi="Cambria"/>
        </w:rPr>
        <w:t>, 12 historias breves de finalidad didáctica y moral publicadas por Juan de la Cuesta.</w:t>
      </w:r>
    </w:p>
    <w:p w:rsidR="008106AC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Rinconete y Cortadillo</w:t>
      </w:r>
      <w:r w:rsidRPr="001144FF">
        <w:rPr>
          <w:rFonts w:ascii="Cambria" w:hAnsi="Cambria"/>
        </w:rPr>
        <w:t xml:space="preserve">, de tipo picaresca. </w:t>
      </w:r>
      <w:proofErr w:type="spellStart"/>
      <w:r w:rsidRPr="001144FF">
        <w:rPr>
          <w:rFonts w:ascii="Cambria" w:hAnsi="Cambria"/>
        </w:rPr>
        <w:t>Ricón</w:t>
      </w:r>
      <w:proofErr w:type="spellEnd"/>
      <w:r w:rsidRPr="001144FF">
        <w:rPr>
          <w:rFonts w:ascii="Cambria" w:hAnsi="Cambria"/>
        </w:rPr>
        <w:t xml:space="preserve"> y Cortado son dos muchachos que huyen a Sevilla y entran en la pandilla de</w:t>
      </w:r>
      <w:r>
        <w:rPr>
          <w:rFonts w:ascii="Cambria" w:hAnsi="Cambria"/>
        </w:rPr>
        <w:t>l</w:t>
      </w:r>
      <w:r w:rsidRPr="001144FF">
        <w:rPr>
          <w:rFonts w:ascii="Cambria" w:hAnsi="Cambria"/>
        </w:rPr>
        <w:t xml:space="preserve"> ladrón Monipodio, que les cambia el nombre por Rinconete y Cortadillo. 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>
        <w:rPr>
          <w:rFonts w:ascii="Cambria" w:hAnsi="Cambria"/>
          <w:u w:val="single"/>
        </w:rPr>
        <w:t>La española inglesa.</w:t>
      </w:r>
      <w:r>
        <w:rPr>
          <w:rFonts w:ascii="Cambria" w:hAnsi="Cambria"/>
        </w:rPr>
        <w:t xml:space="preserve"> Protagonizada por el amor entre Isabel y Ricardo con la inglesa reina Isabel I de fondo.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La gitanilla</w:t>
      </w:r>
      <w:r w:rsidRPr="001144FF">
        <w:rPr>
          <w:rFonts w:ascii="Cambria" w:hAnsi="Cambria"/>
        </w:rPr>
        <w:t>. Preciosa vive con un grupo de gitanos y asombra a todo el mundo por su gracia al cantar y bailar, don Juan se enamora de ella</w:t>
      </w:r>
      <w:r>
        <w:rPr>
          <w:rFonts w:ascii="Cambria" w:hAnsi="Cambria"/>
        </w:rPr>
        <w:t>,</w:t>
      </w:r>
      <w:r w:rsidRPr="001144FF">
        <w:rPr>
          <w:rFonts w:ascii="Cambria" w:hAnsi="Cambria"/>
        </w:rPr>
        <w:t xml:space="preserve"> pero le dice que para casarse deberá pasar dos años viviendo como ella, tras ser encarcelado él, lo consiguen.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El licenciado Vidriera</w:t>
      </w:r>
      <w:r w:rsidRPr="001144FF">
        <w:rPr>
          <w:rFonts w:ascii="Cambria" w:hAnsi="Cambria"/>
        </w:rPr>
        <w:t xml:space="preserve">, de un curioso estudiante que se creía vidrio.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La española inglesa</w:t>
      </w:r>
      <w:r w:rsidRPr="001144FF">
        <w:rPr>
          <w:rFonts w:ascii="Cambria" w:hAnsi="Cambria"/>
        </w:rPr>
        <w:t xml:space="preserve">, que fue adaptada por TVE. Isabel es apresada por los ingleses de Isabel I en Cádiz y llevada a Londres, allí se enamorará de Ricardo, el hijo de los nobles para los que sirve como criada y ese amor marcará toda la historia, con varios intentos de boda frustrados, con luchas contra los turcos, envenenamientos y reclutamientos, además de la gran Isabel I de Inglaterra de fondo. Finalmente, Isabel, antes de tomar los votos, encuentra a Ricardo y su amor, por fin, podrá colmarse.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El celoso extremeño</w:t>
      </w:r>
      <w:r w:rsidRPr="001144FF">
        <w:rPr>
          <w:rFonts w:ascii="Cambria" w:hAnsi="Cambria"/>
        </w:rPr>
        <w:t xml:space="preserve">, en el que el protagonista es terriblemente celoso de su joven esposa, a la que recluye en su casa sin contacto con el exterior, hasta que un día un guitarrista entra y se precipita el curioso final.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La ilustre fregona</w:t>
      </w:r>
      <w:r w:rsidRPr="001144FF">
        <w:rPr>
          <w:rFonts w:ascii="Cambria" w:hAnsi="Cambria"/>
        </w:rPr>
        <w:t xml:space="preserve">, una limpiadora que resulta no ser tal.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La fuerza de la sangre</w:t>
      </w:r>
      <w:r w:rsidRPr="001144FF">
        <w:rPr>
          <w:rFonts w:ascii="Cambria" w:hAnsi="Cambria"/>
        </w:rPr>
        <w:t xml:space="preserve">, una pareja que termina en final feliz. </w:t>
      </w:r>
    </w:p>
    <w:p w:rsidR="008106AC" w:rsidRPr="001144FF" w:rsidRDefault="008106AC" w:rsidP="008106AC">
      <w:pPr>
        <w:pStyle w:val="Prrafodelista"/>
        <w:numPr>
          <w:ilvl w:val="1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/>
          <w:u w:val="single"/>
        </w:rPr>
        <w:t>El coloquio de los perros</w:t>
      </w:r>
      <w:r w:rsidRPr="001144FF">
        <w:rPr>
          <w:rFonts w:ascii="Cambria" w:hAnsi="Cambria"/>
        </w:rPr>
        <w:t xml:space="preserve">, que hace alusión a su título. </w:t>
      </w:r>
    </w:p>
    <w:p w:rsidR="008106AC" w:rsidRPr="001144FF" w:rsidRDefault="008106AC" w:rsidP="008106AC">
      <w:pPr>
        <w:pStyle w:val="Prrafodelista"/>
        <w:numPr>
          <w:ilvl w:val="0"/>
          <w:numId w:val="1"/>
        </w:numPr>
        <w:jc w:val="both"/>
        <w:rPr>
          <w:rFonts w:ascii="Cambria" w:hAnsi="Cambria"/>
        </w:rPr>
      </w:pPr>
      <w:r w:rsidRPr="001144FF">
        <w:rPr>
          <w:rFonts w:ascii="Cambria" w:hAnsi="Cambria" w:cs="Times New Roman"/>
        </w:rPr>
        <w:t xml:space="preserve">Enfermo terminó de escribir </w:t>
      </w:r>
      <w:r w:rsidRPr="001144FF">
        <w:rPr>
          <w:rFonts w:ascii="Cambria" w:hAnsi="Cambria" w:cs="Times New Roman"/>
          <w:u w:val="single"/>
        </w:rPr>
        <w:t>“Los trabajos de Persiles y Sigismunda”,</w:t>
      </w:r>
      <w:r w:rsidRPr="001144FF">
        <w:rPr>
          <w:rFonts w:ascii="Cambria" w:hAnsi="Cambria" w:cs="Times New Roman"/>
        </w:rPr>
        <w:t xml:space="preserve"> novela tipo bizantina, dedicado al conde Lemos, que publicó de manera póstuma su viuda en 1617. </w:t>
      </w:r>
    </w:p>
    <w:p w:rsidR="008106AC" w:rsidRPr="001144FF" w:rsidRDefault="008106AC" w:rsidP="008106AC">
      <w:pPr>
        <w:pStyle w:val="Standard"/>
        <w:numPr>
          <w:ilvl w:val="0"/>
          <w:numId w:val="1"/>
        </w:numPr>
        <w:spacing w:line="240" w:lineRule="auto"/>
        <w:jc w:val="both"/>
        <w:rPr>
          <w:rFonts w:ascii="Cambria" w:hAnsi="Cambria" w:cs="Times New Roman"/>
          <w:sz w:val="24"/>
          <w:szCs w:val="24"/>
        </w:rPr>
      </w:pPr>
      <w:r w:rsidRPr="001144FF">
        <w:rPr>
          <w:rFonts w:ascii="Cambria" w:hAnsi="Cambria" w:cs="Times New Roman"/>
          <w:sz w:val="24"/>
          <w:szCs w:val="24"/>
        </w:rPr>
        <w:t xml:space="preserve">La fama le vino casi al final de su vida con la publicación de la primera parte de su obra maestra. Y se confirmó con la segunda parte. </w:t>
      </w:r>
      <w:r>
        <w:rPr>
          <w:rFonts w:ascii="Cambria" w:hAnsi="Cambria" w:cs="Times New Roman"/>
          <w:sz w:val="24"/>
          <w:szCs w:val="24"/>
        </w:rPr>
        <w:t>¿Te suena?</w:t>
      </w:r>
    </w:p>
    <w:p w:rsidR="00705BBA" w:rsidRDefault="00705BBA"/>
    <w:sectPr w:rsidR="00705BBA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73700"/>
    <w:multiLevelType w:val="hybridMultilevel"/>
    <w:tmpl w:val="0BB6A34C"/>
    <w:lvl w:ilvl="0" w:tplc="3A121A3E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583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6AC"/>
    <w:rsid w:val="004311D1"/>
    <w:rsid w:val="00705BBA"/>
    <w:rsid w:val="0081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6A76F2"/>
  <w15:chartTrackingRefBased/>
  <w15:docId w15:val="{B5EA2242-94CF-AE48-9519-42B12104A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AC"/>
    <w:rPr>
      <w:rFonts w:eastAsiaTheme="minorEastAsia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106AC"/>
    <w:pPr>
      <w:ind w:left="720"/>
      <w:contextualSpacing/>
    </w:pPr>
  </w:style>
  <w:style w:type="paragraph" w:customStyle="1" w:styleId="Standard">
    <w:name w:val="Standard"/>
    <w:rsid w:val="008106AC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477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1</cp:revision>
  <dcterms:created xsi:type="dcterms:W3CDTF">2023-12-27T10:36:00Z</dcterms:created>
  <dcterms:modified xsi:type="dcterms:W3CDTF">2023-12-27T10:37:00Z</dcterms:modified>
</cp:coreProperties>
</file>