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70CB" w:rsidRPr="007940D1" w:rsidRDefault="000D70CB" w:rsidP="007940D1">
      <w:pPr>
        <w:pStyle w:val="NormalWeb"/>
        <w:jc w:val="center"/>
        <w:rPr>
          <w:rFonts w:asciiTheme="minorHAnsi" w:hAnsiTheme="minorHAnsi"/>
          <w:sz w:val="32"/>
          <w:szCs w:val="32"/>
        </w:rPr>
      </w:pPr>
      <w:bookmarkStart w:id="0" w:name="_GoBack"/>
      <w:bookmarkEnd w:id="0"/>
      <w:r w:rsidRPr="007940D1">
        <w:rPr>
          <w:rFonts w:asciiTheme="minorHAnsi" w:hAnsiTheme="minorHAnsi"/>
          <w:sz w:val="32"/>
          <w:szCs w:val="32"/>
        </w:rPr>
        <w:t>ESCUELA DE PALO ALTO</w:t>
      </w:r>
    </w:p>
    <w:p w:rsidR="000D70CB" w:rsidRPr="007940D1" w:rsidRDefault="000D70CB" w:rsidP="007940D1">
      <w:pPr>
        <w:pStyle w:val="NormalWeb"/>
        <w:jc w:val="both"/>
        <w:rPr>
          <w:rFonts w:asciiTheme="minorHAnsi" w:hAnsiTheme="minorHAnsi"/>
        </w:rPr>
      </w:pPr>
      <w:r w:rsidRPr="007940D1">
        <w:rPr>
          <w:rFonts w:asciiTheme="minorHAnsi" w:hAnsiTheme="minorHAnsi"/>
        </w:rPr>
        <w:t xml:space="preserve">Según </w:t>
      </w:r>
      <w:proofErr w:type="spellStart"/>
      <w:r w:rsidRPr="007940D1">
        <w:rPr>
          <w:rStyle w:val="Textoennegrita"/>
          <w:rFonts w:asciiTheme="minorHAnsi" w:hAnsiTheme="minorHAnsi"/>
        </w:rPr>
        <w:t>Ekman</w:t>
      </w:r>
      <w:proofErr w:type="spellEnd"/>
      <w:r w:rsidRPr="007940D1">
        <w:rPr>
          <w:rFonts w:asciiTheme="minorHAnsi" w:hAnsiTheme="minorHAnsi"/>
        </w:rPr>
        <w:t xml:space="preserve">, psicólogo especialista en gestos no verbales, este tipo de comunicación es </w:t>
      </w:r>
      <w:r w:rsidRPr="007940D1">
        <w:rPr>
          <w:rStyle w:val="Textoennegrita"/>
          <w:rFonts w:asciiTheme="minorHAnsi" w:hAnsiTheme="minorHAnsi"/>
        </w:rPr>
        <w:t>innato</w:t>
      </w:r>
      <w:r w:rsidRPr="007940D1">
        <w:rPr>
          <w:rFonts w:asciiTheme="minorHAnsi" w:hAnsiTheme="minorHAnsi"/>
        </w:rPr>
        <w:t xml:space="preserve">, universal; por el contrario, </w:t>
      </w:r>
      <w:proofErr w:type="spellStart"/>
      <w:r w:rsidRPr="007940D1">
        <w:rPr>
          <w:rStyle w:val="Textoennegrita"/>
          <w:rFonts w:asciiTheme="minorHAnsi" w:hAnsiTheme="minorHAnsi"/>
        </w:rPr>
        <w:t>Birdwhistell</w:t>
      </w:r>
      <w:proofErr w:type="spellEnd"/>
      <w:r w:rsidRPr="007940D1">
        <w:rPr>
          <w:rFonts w:asciiTheme="minorHAnsi" w:hAnsiTheme="minorHAnsi"/>
        </w:rPr>
        <w:t xml:space="preserve"> afirma que no hay gestos universales, sino </w:t>
      </w:r>
      <w:r w:rsidRPr="007940D1">
        <w:rPr>
          <w:rStyle w:val="nfasis"/>
          <w:rFonts w:asciiTheme="minorHAnsi" w:hAnsiTheme="minorHAnsi"/>
        </w:rPr>
        <w:t>expresiones anatómicas similares</w:t>
      </w:r>
      <w:r w:rsidRPr="007940D1">
        <w:rPr>
          <w:rFonts w:asciiTheme="minorHAnsi" w:hAnsiTheme="minorHAnsi"/>
        </w:rPr>
        <w:t xml:space="preserve"> con significado diferente según qué cultura.</w:t>
      </w:r>
    </w:p>
    <w:p w:rsidR="000D70CB" w:rsidRPr="007940D1" w:rsidRDefault="000D70CB" w:rsidP="007940D1">
      <w:pPr>
        <w:pStyle w:val="NormalWeb"/>
        <w:jc w:val="both"/>
        <w:rPr>
          <w:rFonts w:asciiTheme="minorHAnsi" w:hAnsiTheme="minorHAnsi"/>
        </w:rPr>
      </w:pPr>
      <w:r w:rsidRPr="007940D1">
        <w:rPr>
          <w:rFonts w:asciiTheme="minorHAnsi" w:hAnsiTheme="minorHAnsi"/>
        </w:rPr>
        <w:t>Siendo como fuere, hay estudios realizados en tribus que no han tenido contacto con otras personas, que determinan que hay gestos comunes a la práctica totalidad de los seres humanos, independientemente de su sexo, religión, edad, raza, cultura… como con el gesto de sí y no moviendo la cabeza hacia delante y hacia atrás o de lado a lado, el gesto de “ok” realizando un círculo con los dedos pulgar e índice o encogerse de hombros, que representaría un “no sé, no entiendo”, señalar aquí o allí con el dedo índice, hablar por teléfono con el pulgar extendido sobre la oreja y el meñique sobre la boca…</w:t>
      </w:r>
    </w:p>
    <w:p w:rsidR="000D70CB" w:rsidRPr="007940D1" w:rsidRDefault="000D70CB" w:rsidP="007940D1">
      <w:pPr>
        <w:pStyle w:val="NormalWeb"/>
        <w:jc w:val="both"/>
        <w:rPr>
          <w:rFonts w:asciiTheme="minorHAnsi" w:hAnsiTheme="minorHAnsi"/>
        </w:rPr>
      </w:pPr>
      <w:r w:rsidRPr="007940D1">
        <w:rPr>
          <w:rFonts w:asciiTheme="minorHAnsi" w:hAnsiTheme="minorHAnsi"/>
        </w:rPr>
        <w:t xml:space="preserve">Los especialistas nombrados anteriormente forman parte de la </w:t>
      </w:r>
      <w:r w:rsidRPr="007940D1">
        <w:rPr>
          <w:rStyle w:val="Textoennegrita"/>
          <w:rFonts w:asciiTheme="minorHAnsi" w:hAnsiTheme="minorHAnsi"/>
        </w:rPr>
        <w:t>Escuela de Palo Alto</w:t>
      </w:r>
      <w:r w:rsidRPr="007940D1">
        <w:rPr>
          <w:rFonts w:asciiTheme="minorHAnsi" w:hAnsiTheme="minorHAnsi"/>
        </w:rPr>
        <w:t>, California. El origen del grupo surge a mediados del siglo XX, y parte de un grupo de investigadores de diferentes áreas de un hospital psiquiátrico de EEUU que estudian la comunicación. Sus conclusiones han sido estudiadas y comentadas en numerosos artículos.</w:t>
      </w:r>
    </w:p>
    <w:p w:rsidR="007940D1" w:rsidRPr="007940D1" w:rsidRDefault="007940D1" w:rsidP="007940D1">
      <w:pPr>
        <w:spacing w:before="100" w:beforeAutospacing="1" w:after="100" w:afterAutospacing="1"/>
        <w:jc w:val="both"/>
        <w:rPr>
          <w:rFonts w:eastAsia="Times New Roman" w:cs="Times New Roman"/>
          <w:lang w:eastAsia="es-ES_tradnl"/>
        </w:rPr>
      </w:pPr>
      <w:r w:rsidRPr="007940D1">
        <w:rPr>
          <w:rFonts w:eastAsia="Times New Roman" w:cs="Times New Roman"/>
          <w:lang w:eastAsia="es-ES_tradnl"/>
        </w:rPr>
        <w:t>Estos son algunos de</w:t>
      </w:r>
      <w:r w:rsidRPr="007940D1">
        <w:rPr>
          <w:rFonts w:eastAsia="Times New Roman" w:cs="Times New Roman"/>
          <w:lang w:eastAsia="es-ES_tradnl"/>
        </w:rPr>
        <w:t xml:space="preserve"> los autores más significativos</w:t>
      </w:r>
      <w:r w:rsidRPr="007940D1">
        <w:rPr>
          <w:rFonts w:eastAsia="Times New Roman" w:cs="Times New Roman"/>
          <w:lang w:eastAsia="es-ES_tradnl"/>
        </w:rPr>
        <w:t>:</w:t>
      </w:r>
      <w:r w:rsidRPr="007940D1">
        <w:rPr>
          <w:rFonts w:eastAsia="Times New Roman" w:cs="Times New Roman"/>
          <w:lang w:eastAsia="es-ES_tradnl"/>
        </w:rPr>
        <w:t xml:space="preserve">  </w:t>
      </w:r>
    </w:p>
    <w:p w:rsidR="007940D1" w:rsidRPr="007940D1" w:rsidRDefault="007940D1" w:rsidP="007940D1">
      <w:pPr>
        <w:numPr>
          <w:ilvl w:val="0"/>
          <w:numId w:val="1"/>
        </w:numPr>
        <w:spacing w:before="100" w:beforeAutospacing="1" w:after="100" w:afterAutospacing="1"/>
        <w:jc w:val="both"/>
        <w:rPr>
          <w:rFonts w:eastAsia="Times New Roman" w:cs="Times New Roman"/>
          <w:lang w:eastAsia="es-ES_tradnl"/>
        </w:rPr>
      </w:pPr>
      <w:proofErr w:type="spellStart"/>
      <w:r w:rsidRPr="007940D1">
        <w:rPr>
          <w:rFonts w:eastAsia="Times New Roman" w:cs="Times New Roman"/>
          <w:b/>
          <w:bCs/>
          <w:lang w:eastAsia="es-ES_tradnl"/>
        </w:rPr>
        <w:t>Watzlawick</w:t>
      </w:r>
      <w:proofErr w:type="spellEnd"/>
      <w:r w:rsidRPr="007940D1">
        <w:rPr>
          <w:rFonts w:eastAsia="Times New Roman" w:cs="Times New Roman"/>
          <w:lang w:eastAsia="es-ES_tradnl"/>
        </w:rPr>
        <w:t xml:space="preserve"> </w:t>
      </w:r>
      <w:proofErr w:type="spellStart"/>
      <w:r w:rsidRPr="007940D1">
        <w:rPr>
          <w:rFonts w:eastAsia="Times New Roman" w:cs="Times New Roman"/>
          <w:lang w:eastAsia="es-ES_tradnl"/>
        </w:rPr>
        <w:t xml:space="preserve">y sus </w:t>
      </w:r>
      <w:proofErr w:type="spellEnd"/>
      <w:r w:rsidRPr="007940D1">
        <w:rPr>
          <w:rFonts w:eastAsia="Times New Roman" w:cs="Times New Roman"/>
          <w:lang w:eastAsia="es-ES_tradnl"/>
        </w:rPr>
        <w:t>cinco axiomas, entre los que destaca el de “no se puede no comunicar”</w:t>
      </w:r>
      <w:r w:rsidRPr="007940D1">
        <w:rPr>
          <w:rFonts w:eastAsia="Times New Roman" w:cs="Times New Roman"/>
          <w:lang w:eastAsia="es-ES_tradnl"/>
        </w:rPr>
        <w:t xml:space="preserve">. </w:t>
      </w:r>
    </w:p>
    <w:p w:rsidR="007940D1" w:rsidRPr="007940D1" w:rsidRDefault="007940D1" w:rsidP="007940D1">
      <w:pPr>
        <w:numPr>
          <w:ilvl w:val="0"/>
          <w:numId w:val="2"/>
        </w:numPr>
        <w:spacing w:before="100" w:beforeAutospacing="1" w:after="100" w:afterAutospacing="1"/>
        <w:jc w:val="both"/>
        <w:rPr>
          <w:rFonts w:eastAsia="Times New Roman" w:cs="Times New Roman"/>
          <w:lang w:eastAsia="es-ES_tradnl"/>
        </w:rPr>
      </w:pPr>
      <w:proofErr w:type="spellStart"/>
      <w:r w:rsidRPr="007940D1">
        <w:rPr>
          <w:rFonts w:eastAsia="Times New Roman" w:cs="Times New Roman"/>
          <w:b/>
          <w:bCs/>
          <w:lang w:eastAsia="es-ES_tradnl"/>
        </w:rPr>
        <w:t>Knapp</w:t>
      </w:r>
      <w:proofErr w:type="spellEnd"/>
      <w:r w:rsidRPr="007940D1">
        <w:rPr>
          <w:rFonts w:eastAsia="Times New Roman" w:cs="Times New Roman"/>
          <w:lang w:eastAsia="es-ES_tradnl"/>
        </w:rPr>
        <w:t xml:space="preserve"> estableció los factores del proceso comunicativo: movimientos del cuerpo, características físicas del cuerpo, conducta táctil, </w:t>
      </w:r>
      <w:proofErr w:type="spellStart"/>
      <w:r w:rsidRPr="007940D1">
        <w:rPr>
          <w:rFonts w:eastAsia="Times New Roman" w:cs="Times New Roman"/>
          <w:lang w:eastAsia="es-ES_tradnl"/>
        </w:rPr>
        <w:t>paralenguaje</w:t>
      </w:r>
      <w:proofErr w:type="spellEnd"/>
      <w:r w:rsidRPr="007940D1">
        <w:rPr>
          <w:rFonts w:eastAsia="Times New Roman" w:cs="Times New Roman"/>
          <w:lang w:eastAsia="es-ES_tradnl"/>
        </w:rPr>
        <w:t xml:space="preserve">, </w:t>
      </w:r>
      <w:proofErr w:type="spellStart"/>
      <w:r w:rsidRPr="007940D1">
        <w:rPr>
          <w:rFonts w:eastAsia="Times New Roman" w:cs="Times New Roman"/>
          <w:lang w:eastAsia="es-ES_tradnl"/>
        </w:rPr>
        <w:t>proxémica</w:t>
      </w:r>
      <w:proofErr w:type="spellEnd"/>
      <w:r w:rsidRPr="007940D1">
        <w:rPr>
          <w:rFonts w:eastAsia="Times New Roman" w:cs="Times New Roman"/>
          <w:lang w:eastAsia="es-ES_tradnl"/>
        </w:rPr>
        <w:t>, artefactos y factores del entorno. En sus publicaciones aborda el contacto táctil en las relaciones interpersonales, la gestualidad en los ritos sexuales, la dirección y el sentido de las miradas, las expresiones faciales…</w:t>
      </w:r>
    </w:p>
    <w:p w:rsidR="007940D1" w:rsidRPr="007940D1" w:rsidRDefault="007940D1" w:rsidP="007940D1">
      <w:pPr>
        <w:pStyle w:val="NormalWeb"/>
        <w:jc w:val="both"/>
        <w:rPr>
          <w:rFonts w:asciiTheme="minorHAnsi" w:hAnsiTheme="minorHAnsi"/>
        </w:rPr>
      </w:pPr>
      <w:r w:rsidRPr="007940D1">
        <w:rPr>
          <w:rFonts w:asciiTheme="minorHAnsi" w:hAnsiTheme="minorHAnsi"/>
        </w:rPr>
        <w:t>También realizó una clasificación de las expresiones básicas faciales, basada en fotografías, que llamó FAST: sorpresa, miedo, disgusto, cólera, felicidad y tristeza; cada una de estas expresiones se identifica con una parte del rostro. Por ejemplo, la felicidad con las comisuras de los labios y los ángulos externos de los ojos.</w:t>
      </w:r>
    </w:p>
    <w:p w:rsidR="007940D1" w:rsidRPr="007940D1" w:rsidRDefault="007940D1" w:rsidP="007940D1">
      <w:pPr>
        <w:spacing w:before="100" w:beforeAutospacing="1" w:after="100" w:afterAutospacing="1"/>
        <w:jc w:val="both"/>
        <w:rPr>
          <w:rFonts w:eastAsia="Times New Roman" w:cs="Times New Roman"/>
          <w:lang w:eastAsia="es-ES_tradnl"/>
        </w:rPr>
      </w:pPr>
      <w:r w:rsidRPr="007940D1">
        <w:rPr>
          <w:rFonts w:eastAsia="Times New Roman" w:cs="Times New Roman"/>
          <w:lang w:eastAsia="es-ES_tradnl"/>
        </w:rPr>
        <w:t>Propuso también tres clases de mirada: de negocios, social e íntima, diferenciando entre hombres y mujeres. Históricamente, la mujer tenía el rol de proteger el hogar y los suyos y por ello ha desarrollado un ángulo de visión de entre 45 º y 180 º, la visión periférica. Por otro lago, el hombre tenía como rol la caza, es decir, la mirada fija y a larga distancia, una visión cilíndrica.</w:t>
      </w:r>
    </w:p>
    <w:p w:rsidR="007940D1" w:rsidRPr="007940D1" w:rsidRDefault="007940D1" w:rsidP="007940D1">
      <w:pPr>
        <w:numPr>
          <w:ilvl w:val="0"/>
          <w:numId w:val="3"/>
        </w:numPr>
        <w:spacing w:before="100" w:beforeAutospacing="1" w:after="100" w:afterAutospacing="1"/>
        <w:jc w:val="both"/>
        <w:rPr>
          <w:rFonts w:eastAsia="Times New Roman" w:cs="Times New Roman"/>
          <w:lang w:eastAsia="es-ES_tradnl"/>
        </w:rPr>
      </w:pPr>
      <w:proofErr w:type="spellStart"/>
      <w:r w:rsidRPr="007940D1">
        <w:rPr>
          <w:rFonts w:eastAsia="Times New Roman" w:cs="Times New Roman"/>
          <w:b/>
          <w:bCs/>
          <w:lang w:eastAsia="es-ES_tradnl"/>
        </w:rPr>
        <w:t>Goffman</w:t>
      </w:r>
      <w:proofErr w:type="spellEnd"/>
      <w:r w:rsidRPr="007940D1">
        <w:rPr>
          <w:rFonts w:eastAsia="Times New Roman" w:cs="Times New Roman"/>
          <w:lang w:eastAsia="es-ES_tradnl"/>
        </w:rPr>
        <w:t xml:space="preserve"> es el padre de la </w:t>
      </w:r>
      <w:proofErr w:type="spellStart"/>
      <w:r w:rsidRPr="007940D1">
        <w:rPr>
          <w:rFonts w:eastAsia="Times New Roman" w:cs="Times New Roman"/>
          <w:lang w:eastAsia="es-ES_tradnl"/>
        </w:rPr>
        <w:t>microsociología</w:t>
      </w:r>
      <w:proofErr w:type="spellEnd"/>
      <w:r w:rsidRPr="007940D1">
        <w:rPr>
          <w:rFonts w:eastAsia="Times New Roman" w:cs="Times New Roman"/>
          <w:lang w:eastAsia="es-ES_tradnl"/>
        </w:rPr>
        <w:t>, se centró en la interacción entre personas en grupos reducidos y publicó su estudio más representativo “</w:t>
      </w:r>
      <w:proofErr w:type="spellStart"/>
      <w:r w:rsidRPr="007940D1">
        <w:rPr>
          <w:rFonts w:eastAsia="Times New Roman" w:cs="Times New Roman"/>
          <w:lang w:eastAsia="es-ES_tradnl"/>
        </w:rPr>
        <w:t>Frame</w:t>
      </w:r>
      <w:proofErr w:type="spellEnd"/>
      <w:r w:rsidRPr="007940D1">
        <w:rPr>
          <w:rFonts w:eastAsia="Times New Roman" w:cs="Times New Roman"/>
          <w:lang w:eastAsia="es-ES_tradnl"/>
        </w:rPr>
        <w:t xml:space="preserve"> </w:t>
      </w:r>
      <w:proofErr w:type="spellStart"/>
      <w:r w:rsidRPr="007940D1">
        <w:rPr>
          <w:rFonts w:eastAsia="Times New Roman" w:cs="Times New Roman"/>
          <w:lang w:eastAsia="es-ES_tradnl"/>
        </w:rPr>
        <w:t>Analysis</w:t>
      </w:r>
      <w:proofErr w:type="spellEnd"/>
      <w:r w:rsidRPr="007940D1">
        <w:rPr>
          <w:rFonts w:eastAsia="Times New Roman" w:cs="Times New Roman"/>
          <w:lang w:eastAsia="es-ES_tradnl"/>
        </w:rPr>
        <w:t>”, en el que describía la teoría de la acción social en ese entorno micro. </w:t>
      </w:r>
    </w:p>
    <w:p w:rsidR="007940D1" w:rsidRPr="007940D1" w:rsidRDefault="007940D1" w:rsidP="007940D1">
      <w:pPr>
        <w:numPr>
          <w:ilvl w:val="0"/>
          <w:numId w:val="4"/>
        </w:numPr>
        <w:spacing w:before="100" w:beforeAutospacing="1" w:after="100" w:afterAutospacing="1"/>
        <w:jc w:val="both"/>
        <w:rPr>
          <w:rFonts w:eastAsia="Times New Roman" w:cs="Times New Roman"/>
          <w:lang w:eastAsia="es-ES_tradnl"/>
        </w:rPr>
      </w:pPr>
      <w:r w:rsidRPr="007940D1">
        <w:rPr>
          <w:rFonts w:eastAsia="Times New Roman" w:cs="Times New Roman"/>
          <w:b/>
          <w:bCs/>
          <w:lang w:eastAsia="es-ES_tradnl"/>
        </w:rPr>
        <w:lastRenderedPageBreak/>
        <w:t xml:space="preserve">Edward Hall </w:t>
      </w:r>
      <w:r w:rsidRPr="007940D1">
        <w:rPr>
          <w:rFonts w:eastAsia="Times New Roman" w:cs="Times New Roman"/>
          <w:lang w:eastAsia="es-ES_tradnl"/>
        </w:rPr>
        <w:t xml:space="preserve">realizó estudios sobre la </w:t>
      </w:r>
      <w:proofErr w:type="spellStart"/>
      <w:r w:rsidRPr="007940D1">
        <w:rPr>
          <w:rFonts w:eastAsia="Times New Roman" w:cs="Times New Roman"/>
          <w:lang w:eastAsia="es-ES_tradnl"/>
        </w:rPr>
        <w:t>proxémica</w:t>
      </w:r>
      <w:proofErr w:type="spellEnd"/>
      <w:r w:rsidRPr="007940D1">
        <w:rPr>
          <w:rFonts w:eastAsia="Times New Roman" w:cs="Times New Roman"/>
          <w:lang w:eastAsia="es-ES_tradnl"/>
        </w:rPr>
        <w:t xml:space="preserve"> y demostró que el espacio comunica, ya sea eligiendo la silla antes de una entrevista de trabajo, las sensaciones en el </w:t>
      </w:r>
      <w:proofErr w:type="spellStart"/>
      <w:r w:rsidRPr="007940D1">
        <w:rPr>
          <w:rFonts w:eastAsia="Times New Roman" w:cs="Times New Roman"/>
          <w:lang w:eastAsia="es-ES_tradnl"/>
        </w:rPr>
        <w:t>microteatro</w:t>
      </w:r>
      <w:proofErr w:type="spellEnd"/>
      <w:r w:rsidRPr="007940D1">
        <w:rPr>
          <w:rFonts w:eastAsia="Times New Roman" w:cs="Times New Roman"/>
          <w:lang w:eastAsia="es-ES_tradnl"/>
        </w:rPr>
        <w:t>, los problemas de la claustrofobia o la agorafobia….</w:t>
      </w:r>
    </w:p>
    <w:p w:rsidR="007940D1" w:rsidRPr="007940D1" w:rsidRDefault="007940D1" w:rsidP="007940D1">
      <w:pPr>
        <w:spacing w:before="100" w:beforeAutospacing="1" w:after="100" w:afterAutospacing="1"/>
        <w:jc w:val="both"/>
        <w:rPr>
          <w:rFonts w:eastAsia="Times New Roman" w:cs="Times New Roman"/>
          <w:lang w:eastAsia="es-ES_tradnl"/>
        </w:rPr>
      </w:pPr>
      <w:r w:rsidRPr="007940D1">
        <w:rPr>
          <w:rFonts w:eastAsia="Times New Roman" w:cs="Times New Roman"/>
          <w:lang w:eastAsia="es-ES_tradnl"/>
        </w:rPr>
        <w:t xml:space="preserve">Hay que distinguir la significación de la </w:t>
      </w:r>
      <w:proofErr w:type="spellStart"/>
      <w:r w:rsidRPr="007940D1">
        <w:rPr>
          <w:rFonts w:eastAsia="Times New Roman" w:cs="Times New Roman"/>
          <w:lang w:eastAsia="es-ES_tradnl"/>
        </w:rPr>
        <w:t>proxémica</w:t>
      </w:r>
      <w:proofErr w:type="spellEnd"/>
      <w:r w:rsidRPr="007940D1">
        <w:rPr>
          <w:rFonts w:eastAsia="Times New Roman" w:cs="Times New Roman"/>
          <w:lang w:eastAsia="es-ES_tradnl"/>
        </w:rPr>
        <w:t xml:space="preserve"> en diferentes culturas, ya que varía la interpretación del espacio para la cultura árabe, india, china o europea, por ejemplo; los primeros se comunican en un espacio más reducido y son más propensos a establecer contacto físico en la relación; los últimos tienen un “espacio vital” más amplio para entablar la comunicación.</w:t>
      </w:r>
    </w:p>
    <w:p w:rsidR="007940D1" w:rsidRPr="007940D1" w:rsidRDefault="007940D1" w:rsidP="007940D1">
      <w:pPr>
        <w:spacing w:before="100" w:beforeAutospacing="1" w:after="100" w:afterAutospacing="1"/>
        <w:jc w:val="both"/>
        <w:rPr>
          <w:rFonts w:eastAsia="Times New Roman" w:cs="Times New Roman"/>
          <w:lang w:eastAsia="es-ES_tradnl"/>
        </w:rPr>
      </w:pPr>
      <w:r w:rsidRPr="007940D1">
        <w:rPr>
          <w:rFonts w:eastAsia="Times New Roman" w:cs="Times New Roman"/>
          <w:lang w:eastAsia="es-ES_tradnl"/>
        </w:rPr>
        <w:t xml:space="preserve">Hall elaboró incluso una escala de distancias apropiadas para las relaciones entre norteamericanos y miembros de culturas de no contacto: a menos de 45 cm, conversaciones íntimas o reñir; entre 50 y 75, asuntos personales; entre 1,20 y 2 metros, conversación normal; entre 3 y 4 metros, conversación formal y más de 4 metros, distancia pública. Aunque durante la </w:t>
      </w:r>
      <w:r w:rsidRPr="007940D1">
        <w:rPr>
          <w:rFonts w:eastAsia="Times New Roman" w:cs="Times New Roman"/>
          <w:i/>
          <w:iCs/>
          <w:lang w:eastAsia="es-ES_tradnl"/>
        </w:rPr>
        <w:t xml:space="preserve">época </w:t>
      </w:r>
      <w:proofErr w:type="spellStart"/>
      <w:r w:rsidRPr="007940D1">
        <w:rPr>
          <w:rFonts w:eastAsia="Times New Roman" w:cs="Times New Roman"/>
          <w:i/>
          <w:iCs/>
          <w:lang w:eastAsia="es-ES_tradnl"/>
        </w:rPr>
        <w:t>covid</w:t>
      </w:r>
      <w:proofErr w:type="spellEnd"/>
      <w:r w:rsidRPr="007940D1">
        <w:rPr>
          <w:rFonts w:eastAsia="Times New Roman" w:cs="Times New Roman"/>
          <w:lang w:eastAsia="es-ES_tradnl"/>
        </w:rPr>
        <w:t>, todo se reducía a lo mismo: 1,5 metros de distancia.</w:t>
      </w:r>
    </w:p>
    <w:p w:rsidR="007940D1" w:rsidRPr="007940D1" w:rsidRDefault="007940D1" w:rsidP="007940D1">
      <w:pPr>
        <w:numPr>
          <w:ilvl w:val="0"/>
          <w:numId w:val="4"/>
        </w:numPr>
        <w:spacing w:before="100" w:beforeAutospacing="1" w:after="100" w:afterAutospacing="1"/>
        <w:jc w:val="both"/>
        <w:rPr>
          <w:rFonts w:eastAsia="Times New Roman" w:cs="Times New Roman"/>
          <w:lang w:eastAsia="es-ES_tradnl"/>
        </w:rPr>
      </w:pPr>
      <w:proofErr w:type="spellStart"/>
      <w:r w:rsidRPr="007940D1">
        <w:rPr>
          <w:rFonts w:eastAsia="Times New Roman" w:cs="Times New Roman"/>
          <w:b/>
          <w:bCs/>
          <w:lang w:eastAsia="es-ES_tradnl"/>
        </w:rPr>
        <w:t>Birdwhistell</w:t>
      </w:r>
      <w:proofErr w:type="spellEnd"/>
      <w:r w:rsidRPr="007940D1">
        <w:rPr>
          <w:rFonts w:eastAsia="Times New Roman" w:cs="Times New Roman"/>
          <w:lang w:eastAsia="es-ES_tradnl"/>
        </w:rPr>
        <w:t xml:space="preserve"> acuñó el término de cinésica o kinésica. Del griego </w:t>
      </w:r>
      <w:proofErr w:type="spellStart"/>
      <w:r w:rsidRPr="007940D1">
        <w:rPr>
          <w:rFonts w:eastAsia="Times New Roman" w:cs="Times New Roman"/>
          <w:lang w:eastAsia="es-ES_tradnl"/>
        </w:rPr>
        <w:t>kiné</w:t>
      </w:r>
      <w:proofErr w:type="spellEnd"/>
      <w:r w:rsidRPr="007940D1">
        <w:rPr>
          <w:rFonts w:eastAsia="Times New Roman" w:cs="Times New Roman"/>
          <w:lang w:eastAsia="es-ES_tradnl"/>
        </w:rPr>
        <w:t xml:space="preserve"> (movimiento). Son los movimientos comunicativos que realizamos sin hablar, como la expresión facial, los gestos, la postura o la forma de andar.</w:t>
      </w:r>
    </w:p>
    <w:p w:rsidR="007940D1" w:rsidRPr="007940D1" w:rsidRDefault="007940D1" w:rsidP="007940D1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lang w:eastAsia="es-ES_tradnl"/>
        </w:rPr>
      </w:pPr>
    </w:p>
    <w:p w:rsidR="007940D1" w:rsidRPr="007940D1" w:rsidRDefault="007940D1" w:rsidP="007940D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s-ES_tradnl"/>
        </w:rPr>
      </w:pPr>
    </w:p>
    <w:p w:rsidR="00642DE4" w:rsidRDefault="00642DE4" w:rsidP="007940D1">
      <w:pPr>
        <w:jc w:val="both"/>
      </w:pPr>
    </w:p>
    <w:sectPr w:rsidR="00642DE4" w:rsidSect="004311D1">
      <w:headerReference w:type="default" r:id="rId7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E63EB" w:rsidRDefault="009E63EB" w:rsidP="007940D1">
      <w:r>
        <w:separator/>
      </w:r>
    </w:p>
  </w:endnote>
  <w:endnote w:type="continuationSeparator" w:id="0">
    <w:p w:rsidR="009E63EB" w:rsidRDefault="009E63EB" w:rsidP="007940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E63EB" w:rsidRDefault="009E63EB" w:rsidP="007940D1">
      <w:r>
        <w:separator/>
      </w:r>
    </w:p>
  </w:footnote>
  <w:footnote w:type="continuationSeparator" w:id="0">
    <w:p w:rsidR="009E63EB" w:rsidRDefault="009E63EB" w:rsidP="007940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40D1" w:rsidRDefault="007940D1">
    <w:pPr>
      <w:pStyle w:val="Encabezado"/>
    </w:pPr>
    <w:r>
      <w:t>COMUNICACIÓN</w:t>
    </w:r>
    <w:r>
      <w:tab/>
    </w:r>
    <w:r>
      <w:tab/>
      <w:t xml:space="preserve">Profesora: Rocío Martín </w:t>
    </w:r>
    <w:proofErr w:type="spellStart"/>
    <w:r>
      <w:t>Martín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6732C6"/>
    <w:multiLevelType w:val="multilevel"/>
    <w:tmpl w:val="32565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503C7B"/>
    <w:multiLevelType w:val="multilevel"/>
    <w:tmpl w:val="EEC80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B204D0"/>
    <w:multiLevelType w:val="multilevel"/>
    <w:tmpl w:val="7DE89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376AFD"/>
    <w:multiLevelType w:val="multilevel"/>
    <w:tmpl w:val="7E0AB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F7C7A33"/>
    <w:multiLevelType w:val="multilevel"/>
    <w:tmpl w:val="7828F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0CB"/>
    <w:rsid w:val="000D70CB"/>
    <w:rsid w:val="004311D1"/>
    <w:rsid w:val="00642DE4"/>
    <w:rsid w:val="007940D1"/>
    <w:rsid w:val="009E63EB"/>
    <w:rsid w:val="00B348B5"/>
    <w:rsid w:val="00CC0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85BAB81"/>
  <w15:chartTrackingRefBased/>
  <w15:docId w15:val="{B9886E45-1216-AF4A-ACF1-50111B8A2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D70C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  <w:style w:type="character" w:styleId="Textoennegrita">
    <w:name w:val="Strong"/>
    <w:basedOn w:val="Fuentedeprrafopredeter"/>
    <w:uiPriority w:val="22"/>
    <w:qFormat/>
    <w:rsid w:val="000D70CB"/>
    <w:rPr>
      <w:b/>
      <w:bCs/>
    </w:rPr>
  </w:style>
  <w:style w:type="character" w:styleId="nfasis">
    <w:name w:val="Emphasis"/>
    <w:basedOn w:val="Fuentedeprrafopredeter"/>
    <w:uiPriority w:val="20"/>
    <w:qFormat/>
    <w:rsid w:val="000D70CB"/>
    <w:rPr>
      <w:i/>
      <w:iCs/>
    </w:rPr>
  </w:style>
  <w:style w:type="paragraph" w:styleId="Encabezado">
    <w:name w:val="header"/>
    <w:basedOn w:val="Normal"/>
    <w:link w:val="EncabezadoCar"/>
    <w:uiPriority w:val="99"/>
    <w:unhideWhenUsed/>
    <w:rsid w:val="007940D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940D1"/>
  </w:style>
  <w:style w:type="paragraph" w:styleId="Piedepgina">
    <w:name w:val="footer"/>
    <w:basedOn w:val="Normal"/>
    <w:link w:val="PiedepginaCar"/>
    <w:uiPriority w:val="99"/>
    <w:unhideWhenUsed/>
    <w:rsid w:val="007940D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940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10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610</Words>
  <Characters>3356</Characters>
  <Application>Microsoft Office Word</Application>
  <DocSecurity>0</DocSecurity>
  <Lines>27</Lines>
  <Paragraphs>7</Paragraphs>
  <ScaleCrop>false</ScaleCrop>
  <Company/>
  <LinksUpToDate>false</LinksUpToDate>
  <CharactersWithSpaces>3959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MARTIN MARTIN</dc:creator>
  <cp:keywords/>
  <dc:description/>
  <cp:lastModifiedBy>ROCIO MARTIN MARTIN</cp:lastModifiedBy>
  <cp:revision>2</cp:revision>
  <dcterms:created xsi:type="dcterms:W3CDTF">2025-09-21T11:45:00Z</dcterms:created>
  <dcterms:modified xsi:type="dcterms:W3CDTF">2025-09-21T20:24:00Z</dcterms:modified>
</cp:coreProperties>
</file>